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63146" w14:textId="0389E940" w:rsidR="00883E3C" w:rsidRPr="00EF781C" w:rsidRDefault="00883E3C" w:rsidP="00883E3C">
      <w:pPr>
        <w:jc w:val="center"/>
        <w:rPr>
          <w:b/>
        </w:rPr>
      </w:pPr>
      <w:r w:rsidRPr="00EF781C">
        <w:rPr>
          <w:b/>
        </w:rPr>
        <w:t xml:space="preserve">ASSEMBLÉE GÉNÉRALE DU </w:t>
      </w:r>
      <w:r w:rsidR="00D31B3B">
        <w:rPr>
          <w:b/>
        </w:rPr>
        <w:t>30 MAI 2024</w:t>
      </w:r>
    </w:p>
    <w:p w14:paraId="35CD27CB" w14:textId="77777777" w:rsidR="00883E3C" w:rsidRPr="00EF781C" w:rsidRDefault="00883E3C" w:rsidP="00883E3C">
      <w:pPr>
        <w:jc w:val="center"/>
        <w:rPr>
          <w:b/>
        </w:rPr>
      </w:pPr>
    </w:p>
    <w:p w14:paraId="1A7C56AA" w14:textId="2DB06518" w:rsidR="00883E3C" w:rsidRDefault="00883E3C" w:rsidP="00883E3C">
      <w:pPr>
        <w:jc w:val="center"/>
        <w:rPr>
          <w:b/>
        </w:rPr>
      </w:pPr>
      <w:r w:rsidRPr="00EF781C">
        <w:rPr>
          <w:b/>
        </w:rPr>
        <w:t>RAPPORT FINANCIER</w:t>
      </w:r>
      <w:r>
        <w:rPr>
          <w:b/>
        </w:rPr>
        <w:t xml:space="preserve"> SUR EXERCICE 202</w:t>
      </w:r>
      <w:r w:rsidR="00D31B3B">
        <w:rPr>
          <w:b/>
        </w:rPr>
        <w:t>3</w:t>
      </w:r>
    </w:p>
    <w:p w14:paraId="2F1568EA" w14:textId="77777777" w:rsidR="00883E3C" w:rsidRDefault="00883E3C" w:rsidP="00883E3C">
      <w:pPr>
        <w:jc w:val="center"/>
        <w:rPr>
          <w:b/>
        </w:rPr>
      </w:pPr>
    </w:p>
    <w:p w14:paraId="6366927A" w14:textId="77777777" w:rsidR="00883E3C" w:rsidRDefault="00883E3C" w:rsidP="00883E3C">
      <w:pPr>
        <w:rPr>
          <w:b/>
        </w:rPr>
      </w:pPr>
    </w:p>
    <w:p w14:paraId="710E385F" w14:textId="7C2D5945" w:rsidR="00883E3C" w:rsidRDefault="00883E3C" w:rsidP="00450F91">
      <w:r>
        <w:t xml:space="preserve">L’année </w:t>
      </w:r>
      <w:r w:rsidR="00C35AEB">
        <w:t>2023 s’avérait</w:t>
      </w:r>
      <w:r>
        <w:t xml:space="preserve"> une année </w:t>
      </w:r>
      <w:r w:rsidR="00C35AEB">
        <w:t xml:space="preserve">budgétairement délicate pour </w:t>
      </w:r>
      <w:r w:rsidR="00100251">
        <w:t>le Centre Socioculturel Belleville</w:t>
      </w:r>
      <w:r>
        <w:t xml:space="preserve"> puisqu</w:t>
      </w:r>
      <w:r w:rsidR="00C35AEB">
        <w:t xml:space="preserve">e le Conseil d’Administration avait décidé d’embaucher en CDI le jeune apprenti, Lucas </w:t>
      </w:r>
      <w:proofErr w:type="spellStart"/>
      <w:r w:rsidR="00C35AEB">
        <w:t>Ciocarello</w:t>
      </w:r>
      <w:proofErr w:type="spellEnd"/>
      <w:r w:rsidR="00C35AEB">
        <w:t xml:space="preserve">, chargé de la ludothèque, activité devenue importante pour le CSBV et plus largement pour le quartier. </w:t>
      </w:r>
      <w:r w:rsidR="007116DC">
        <w:t xml:space="preserve">Il lui a également été confié une part de l’accompagnement à la scolarité et la gestion du jardin partagé. </w:t>
      </w:r>
      <w:r w:rsidR="00C35AEB">
        <w:t xml:space="preserve">Pour faire face à cette surcharge budgétaire, il a été également décidé </w:t>
      </w:r>
      <w:r w:rsidR="007116DC">
        <w:t>d’ajouter aux missions de</w:t>
      </w:r>
      <w:r w:rsidR="00C35AEB">
        <w:t xml:space="preserve"> la personne</w:t>
      </w:r>
      <w:r w:rsidR="007116DC">
        <w:t xml:space="preserve"> chargée d’accueil, Catherine </w:t>
      </w:r>
      <w:proofErr w:type="spellStart"/>
      <w:r w:rsidR="007116DC">
        <w:t>Mwangy</w:t>
      </w:r>
      <w:proofErr w:type="spellEnd"/>
      <w:r w:rsidR="007116DC">
        <w:t xml:space="preserve"> - en parfaite maîtrise de son poste englobant l’accueil et</w:t>
      </w:r>
      <w:r>
        <w:t xml:space="preserve"> </w:t>
      </w:r>
      <w:r w:rsidR="007116DC">
        <w:t>la communication - la saisie de la comptabilité. Ces deux décisions se sont r</w:t>
      </w:r>
      <w:r w:rsidR="00450F91">
        <w:t>é</w:t>
      </w:r>
      <w:r w:rsidR="007116DC">
        <w:t>vélées tout-à-fait judicieuses</w:t>
      </w:r>
      <w:r w:rsidR="00450F91">
        <w:t xml:space="preserve"> dans la réussite des missions confiées. Des efforts ont été faits par ailleurs pour maîtriser le budget.</w:t>
      </w:r>
    </w:p>
    <w:p w14:paraId="72C69C88" w14:textId="77777777" w:rsidR="00450F91" w:rsidRDefault="00450F91" w:rsidP="00450F91"/>
    <w:p w14:paraId="6EF37325" w14:textId="6369A9E5" w:rsidR="00450F91" w:rsidRDefault="00450F91" w:rsidP="00883E3C">
      <w:r>
        <w:t>Autre point délicat en 2023 : le Centre Socioculturel Belleville qui avait fait des travaux de réhabilitation de ses locaux en 2022 avait pu payer la quasi-totalité des travaux, grâce à une bonne trésorerie des années précédentes. Cependant, les financements</w:t>
      </w:r>
      <w:r w:rsidR="00B8523B">
        <w:t xml:space="preserve"> obtenus</w:t>
      </w:r>
      <w:r>
        <w:t xml:space="preserve"> de nos partenaires, Ville de Paris et CAF</w:t>
      </w:r>
      <w:r w:rsidR="00B8523B">
        <w:t>, pour la réalisation des travaux</w:t>
      </w:r>
      <w:r>
        <w:t xml:space="preserve"> ayant un peu tardé, le début de l’année 2023 s’est révélée très difficile. Outre le stress occasionné par la situation, chaque paiement occasionnait des agios.</w:t>
      </w:r>
      <w:r w:rsidR="00B8523B">
        <w:t xml:space="preserve"> La situation est rentrée dans l’ordre seulement au mois de mai</w:t>
      </w:r>
      <w:r w:rsidR="00132404">
        <w:t>. Il faut saluer le sang froid de la directrice pour gérer la situation.</w:t>
      </w:r>
    </w:p>
    <w:p w14:paraId="389BD138" w14:textId="77777777" w:rsidR="00100251" w:rsidRDefault="00100251" w:rsidP="00883E3C"/>
    <w:p w14:paraId="4CB61348" w14:textId="77777777" w:rsidR="00100251" w:rsidRDefault="00100251" w:rsidP="002F7C46">
      <w:pPr>
        <w:jc w:val="center"/>
        <w:rPr>
          <w:b/>
        </w:rPr>
      </w:pPr>
      <w:r w:rsidRPr="00111DB5">
        <w:rPr>
          <w:b/>
        </w:rPr>
        <w:t>LES CHARGES</w:t>
      </w:r>
    </w:p>
    <w:p w14:paraId="5B6660DA" w14:textId="77777777" w:rsidR="00B8523B" w:rsidRDefault="00B8523B" w:rsidP="00883E3C">
      <w:pPr>
        <w:rPr>
          <w:b/>
        </w:rPr>
      </w:pPr>
    </w:p>
    <w:p w14:paraId="019E7D77" w14:textId="41493A0E" w:rsidR="00B8523B" w:rsidRDefault="00B8523B" w:rsidP="00883E3C">
      <w:pPr>
        <w:rPr>
          <w:b/>
        </w:rPr>
      </w:pPr>
      <w:r>
        <w:rPr>
          <w:noProof/>
          <w:lang w:eastAsia="zh-CN"/>
        </w:rPr>
        <w:drawing>
          <wp:inline distT="0" distB="0" distL="0" distR="0" wp14:anchorId="31450261" wp14:editId="3AE44CF8">
            <wp:extent cx="5369853" cy="3091473"/>
            <wp:effectExtent l="0" t="0" r="2540" b="1397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C7236C" w14:textId="77777777" w:rsidR="00B8523B" w:rsidRDefault="00B8523B" w:rsidP="00883E3C">
      <w:pPr>
        <w:rPr>
          <w:b/>
        </w:rPr>
      </w:pPr>
    </w:p>
    <w:p w14:paraId="000E8501" w14:textId="77777777" w:rsidR="00100251" w:rsidRDefault="00100251" w:rsidP="00883E3C"/>
    <w:p w14:paraId="571DDAD6" w14:textId="2CBC6B46" w:rsidR="00D83FB6" w:rsidRDefault="00100251" w:rsidP="00883E3C">
      <w:r>
        <w:t>Pour réaliser son « projet social », le Centre Socioculturel Belleville fait face à des dépenses dont certaines sont difficilement fluctuantes comme les charges</w:t>
      </w:r>
      <w:r w:rsidR="00137F5D">
        <w:t xml:space="preserve"> de personnel</w:t>
      </w:r>
      <w:r w:rsidR="00D83FB6">
        <w:t>,</w:t>
      </w:r>
      <w:r>
        <w:t xml:space="preserve">  </w:t>
      </w:r>
      <w:r>
        <w:lastRenderedPageBreak/>
        <w:t>les loyers, l’électricité, le téléphone, l’assurance</w:t>
      </w:r>
      <w:r w:rsidR="00D83FB6">
        <w:t>,</w:t>
      </w:r>
      <w:r w:rsidR="00D83FB6" w:rsidRPr="00D83FB6">
        <w:t xml:space="preserve"> </w:t>
      </w:r>
      <w:r w:rsidR="00D83FB6">
        <w:t>la maintenance, etc., d’autres sont liées directement aux activités proposées aux usagers, des plus jeunes aux plus âgés.</w:t>
      </w:r>
    </w:p>
    <w:p w14:paraId="5D87072C" w14:textId="77777777" w:rsidR="00D83FB6" w:rsidRDefault="00D83FB6" w:rsidP="00883E3C"/>
    <w:p w14:paraId="202B02E5" w14:textId="66509BDB" w:rsidR="00D83FB6" w:rsidRDefault="00DA54D1" w:rsidP="002F7C46">
      <w:pPr>
        <w:jc w:val="center"/>
        <w:rPr>
          <w:b/>
        </w:rPr>
      </w:pPr>
      <w:r w:rsidRPr="00111DB5">
        <w:rPr>
          <w:b/>
        </w:rPr>
        <w:t>LES PRODUITS</w:t>
      </w:r>
    </w:p>
    <w:p w14:paraId="58ED2CD3" w14:textId="77777777" w:rsidR="00137F5D" w:rsidRDefault="00137F5D" w:rsidP="00883E3C">
      <w:pPr>
        <w:rPr>
          <w:b/>
        </w:rPr>
      </w:pPr>
    </w:p>
    <w:p w14:paraId="1DDD72C5" w14:textId="6CC5DDA8" w:rsidR="00137F5D" w:rsidRDefault="00137F5D" w:rsidP="00883E3C">
      <w:pPr>
        <w:rPr>
          <w:b/>
        </w:rPr>
      </w:pPr>
      <w:r>
        <w:rPr>
          <w:noProof/>
          <w:lang w:eastAsia="zh-CN"/>
        </w:rPr>
        <w:drawing>
          <wp:inline distT="0" distB="0" distL="0" distR="0" wp14:anchorId="7DD5588F" wp14:editId="2C31A40C">
            <wp:extent cx="5115560" cy="3044825"/>
            <wp:effectExtent l="0" t="0" r="8890" b="317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81BD67" w14:textId="77777777" w:rsidR="00137F5D" w:rsidRPr="00111DB5" w:rsidRDefault="00137F5D" w:rsidP="00883E3C">
      <w:pPr>
        <w:rPr>
          <w:b/>
        </w:rPr>
      </w:pPr>
    </w:p>
    <w:p w14:paraId="2EA0B51B" w14:textId="77777777" w:rsidR="00DA54D1" w:rsidRDefault="00DA54D1" w:rsidP="00883E3C"/>
    <w:p w14:paraId="6E0BA442" w14:textId="5134CB47" w:rsidR="00A03276" w:rsidRPr="00270A4F" w:rsidRDefault="00A03276" w:rsidP="002F7C46">
      <w:pPr>
        <w:rPr>
          <w:b/>
          <w:bCs/>
        </w:rPr>
      </w:pPr>
      <w:r w:rsidRPr="00270A4F">
        <w:rPr>
          <w:b/>
          <w:bCs/>
        </w:rPr>
        <w:t xml:space="preserve">1 – </w:t>
      </w:r>
      <w:r w:rsidR="002F7C46">
        <w:rPr>
          <w:b/>
          <w:bCs/>
        </w:rPr>
        <w:t>L</w:t>
      </w:r>
      <w:r w:rsidRPr="00270A4F">
        <w:rPr>
          <w:b/>
          <w:bCs/>
        </w:rPr>
        <w:t>a CAF</w:t>
      </w:r>
      <w:r w:rsidR="00270A4F">
        <w:rPr>
          <w:b/>
          <w:bCs/>
        </w:rPr>
        <w:t xml:space="preserve"> (Caisse d’Allocations Familiales)</w:t>
      </w:r>
      <w:r w:rsidRPr="00270A4F">
        <w:rPr>
          <w:b/>
          <w:bCs/>
        </w:rPr>
        <w:t xml:space="preserve"> et </w:t>
      </w:r>
      <w:r w:rsidR="002F7C46">
        <w:rPr>
          <w:b/>
          <w:bCs/>
        </w:rPr>
        <w:t>la ville de</w:t>
      </w:r>
      <w:r w:rsidRPr="00270A4F">
        <w:rPr>
          <w:b/>
          <w:bCs/>
        </w:rPr>
        <w:t xml:space="preserve"> PARIS</w:t>
      </w:r>
    </w:p>
    <w:p w14:paraId="1F9EA7AC" w14:textId="424BAA79" w:rsidR="00A03276" w:rsidRDefault="00DA54D1" w:rsidP="00883E3C">
      <w:r>
        <w:t>Pour faire fonctionner le Centre Socioculturel Belleville, l’association reçoit l’agrément de la Caisse d’Allocations Familiales (CAF) et du Département de la Solidarité de Paris (DESOL) pour 2, 3 ou 4 ans selon la confiance que ces institutions lui accordent au regard de son projet social et de sa bonne gestion.  Depuis de nombreuses années, le Centre Socioculturel Belleville dispose d’un agrément pour 4 ans.</w:t>
      </w:r>
      <w:r w:rsidR="00A03276">
        <w:t xml:space="preserve"> Cet agrément lui permet d’obtenir régulièrement des subventions de ces institutions.</w:t>
      </w:r>
    </w:p>
    <w:p w14:paraId="78CCBC80" w14:textId="77777777" w:rsidR="00137F5D" w:rsidRDefault="00137F5D" w:rsidP="00883E3C"/>
    <w:p w14:paraId="24933FC9" w14:textId="0F3E9ACB" w:rsidR="00A03276" w:rsidRPr="00270A4F" w:rsidRDefault="00A03276" w:rsidP="00270A4F">
      <w:pPr>
        <w:rPr>
          <w:b/>
          <w:bCs/>
        </w:rPr>
      </w:pPr>
      <w:r w:rsidRPr="00270A4F">
        <w:rPr>
          <w:b/>
          <w:bCs/>
        </w:rPr>
        <w:t xml:space="preserve">2 – </w:t>
      </w:r>
      <w:r w:rsidR="00B8523B" w:rsidRPr="00270A4F">
        <w:rPr>
          <w:b/>
          <w:bCs/>
        </w:rPr>
        <w:t>L’E</w:t>
      </w:r>
      <w:r w:rsidR="00270A4F" w:rsidRPr="00270A4F">
        <w:rPr>
          <w:b/>
          <w:bCs/>
        </w:rPr>
        <w:t>TAT</w:t>
      </w:r>
    </w:p>
    <w:p w14:paraId="270C3B91" w14:textId="147FF772" w:rsidR="00A03276" w:rsidRDefault="00A03276" w:rsidP="00883E3C">
      <w:r>
        <w:t>Pendant de nombreuses années, l’Etat a accordé à l’association des aides sur certains emplois (Emplois jeunes, Adultes Relais) et pour certaines activités (accompagnement scolaire notamment). Aujourd’hui, le Centre Socioculturel Belleville n’étant pas dans un quartier « politique de la ville », l’association ne reçoit plus ces aides.</w:t>
      </w:r>
    </w:p>
    <w:p w14:paraId="0B99CC32" w14:textId="2BDCD868" w:rsidR="00035E0A" w:rsidRDefault="00035E0A" w:rsidP="00883E3C">
      <w:r>
        <w:t>La subvention du FONJEP (Fonds de Coopération de la Jeunesse et de l’Education Populaire) a été maintenue pour le poste jeunesse.</w:t>
      </w:r>
    </w:p>
    <w:p w14:paraId="1B12E4BE" w14:textId="0C4CCD51" w:rsidR="00AF552E" w:rsidRDefault="00AF552E" w:rsidP="00883E3C">
      <w:r>
        <w:t>La CNAV (Caisse Nationale d’Assurance Vieillesse) continue son partenariat sur les activités proposées aux personnes âgées.</w:t>
      </w:r>
    </w:p>
    <w:p w14:paraId="6D345925" w14:textId="77777777" w:rsidR="00AF552E" w:rsidRDefault="00AF552E" w:rsidP="00883E3C"/>
    <w:p w14:paraId="796D4D0D" w14:textId="47BC0C42" w:rsidR="00AF552E" w:rsidRPr="002F7C46" w:rsidRDefault="00AF552E" w:rsidP="00270A4F">
      <w:pPr>
        <w:rPr>
          <w:b/>
          <w:bCs/>
        </w:rPr>
      </w:pPr>
      <w:r w:rsidRPr="002F7C46">
        <w:rPr>
          <w:b/>
          <w:bCs/>
        </w:rPr>
        <w:t xml:space="preserve">3 – Le </w:t>
      </w:r>
      <w:r w:rsidR="00270A4F" w:rsidRPr="002F7C46">
        <w:rPr>
          <w:b/>
          <w:bCs/>
        </w:rPr>
        <w:t>MECENAT</w:t>
      </w:r>
    </w:p>
    <w:p w14:paraId="5A3B6323" w14:textId="4FB46303" w:rsidR="00AF552E" w:rsidRDefault="00AF552E" w:rsidP="00270A4F">
      <w:r>
        <w:t>En 202</w:t>
      </w:r>
      <w:r w:rsidR="00270A4F">
        <w:t>3</w:t>
      </w:r>
      <w:r>
        <w:t xml:space="preserve">, </w:t>
      </w:r>
      <w:r w:rsidR="00270A4F">
        <w:t>il n’y a pas eu de financement issu du mécénat</w:t>
      </w:r>
      <w:r>
        <w:t>.</w:t>
      </w:r>
    </w:p>
    <w:p w14:paraId="6FB2BEFF" w14:textId="77777777" w:rsidR="00AF552E" w:rsidRDefault="00AF552E" w:rsidP="00883E3C"/>
    <w:p w14:paraId="37561E1F" w14:textId="23145549" w:rsidR="00AF552E" w:rsidRPr="002F7C46" w:rsidRDefault="00AF552E" w:rsidP="00270A4F">
      <w:pPr>
        <w:rPr>
          <w:b/>
          <w:bCs/>
        </w:rPr>
      </w:pPr>
      <w:r w:rsidRPr="002F7C46">
        <w:rPr>
          <w:b/>
          <w:bCs/>
        </w:rPr>
        <w:t xml:space="preserve">4 – </w:t>
      </w:r>
      <w:r w:rsidR="00270A4F" w:rsidRPr="002F7C46">
        <w:rPr>
          <w:b/>
          <w:bCs/>
        </w:rPr>
        <w:t>ADHESIONS, DONS ET PARTICIPATION DES USAGERS</w:t>
      </w:r>
    </w:p>
    <w:p w14:paraId="1449DE38" w14:textId="15E6B4D0" w:rsidR="00AF552E" w:rsidRDefault="00270A4F" w:rsidP="00270A4F">
      <w:r>
        <w:t>Cela reste une part minime des recettes</w:t>
      </w:r>
      <w:r w:rsidR="008F7B45">
        <w:t>, mais</w:t>
      </w:r>
      <w:r>
        <w:t xml:space="preserve"> il faut noter qu</w:t>
      </w:r>
      <w:r w:rsidR="008F7B45">
        <w:t>e</w:t>
      </w:r>
      <w:r>
        <w:t xml:space="preserve"> de</w:t>
      </w:r>
      <w:r w:rsidR="008F7B45">
        <w:t xml:space="preserve"> nombreuses activités sont gratui</w:t>
      </w:r>
      <w:r>
        <w:t>tes, notamment les consultation</w:t>
      </w:r>
      <w:r w:rsidR="008F7B45">
        <w:t xml:space="preserve">  de l’accès aux droits par les écrivains publics qui sont </w:t>
      </w:r>
      <w:r>
        <w:t>toujours</w:t>
      </w:r>
      <w:r w:rsidR="008F7B45">
        <w:t xml:space="preserve"> plus chargées..</w:t>
      </w:r>
    </w:p>
    <w:p w14:paraId="7167562E" w14:textId="77777777" w:rsidR="002F7C46" w:rsidRDefault="002F7C46" w:rsidP="00270A4F"/>
    <w:p w14:paraId="2462186D" w14:textId="3F6CBB31" w:rsidR="002F7C46" w:rsidRPr="002F7C46" w:rsidRDefault="002F7C46" w:rsidP="00270A4F">
      <w:pPr>
        <w:rPr>
          <w:b/>
          <w:bCs/>
        </w:rPr>
      </w:pPr>
      <w:r w:rsidRPr="002F7C46">
        <w:rPr>
          <w:b/>
          <w:bCs/>
        </w:rPr>
        <w:t>6 – LES PRODUITS EXCEPTIONNELS</w:t>
      </w:r>
    </w:p>
    <w:p w14:paraId="49562463" w14:textId="7853CD11" w:rsidR="002F7C46" w:rsidRDefault="002F7C46" w:rsidP="00270A4F">
      <w:r>
        <w:t>Ce sont les subventions obtenues en regard avec diverses dépenses d’immobilisation (travaux, équipement mobilier ou informatique, etc.</w:t>
      </w:r>
    </w:p>
    <w:p w14:paraId="41EEF3C5" w14:textId="3BB29940" w:rsidR="002F7C46" w:rsidRDefault="002F7C46" w:rsidP="00270A4F">
      <w:r>
        <w:t>C’est aussi les intérêts des livrets d’épargne.</w:t>
      </w:r>
    </w:p>
    <w:p w14:paraId="181E90C9" w14:textId="77777777" w:rsidR="001715DF" w:rsidRDefault="001715DF" w:rsidP="00883E3C"/>
    <w:p w14:paraId="67A5402A" w14:textId="77777777" w:rsidR="001715DF" w:rsidRDefault="001715DF" w:rsidP="00883E3C"/>
    <w:p w14:paraId="6A474E67" w14:textId="5041CFBB" w:rsidR="008F7B45" w:rsidRPr="00111DB5" w:rsidRDefault="008F7B45" w:rsidP="002F7C46">
      <w:pPr>
        <w:jc w:val="center"/>
        <w:rPr>
          <w:b/>
        </w:rPr>
      </w:pPr>
      <w:r w:rsidRPr="00111DB5">
        <w:rPr>
          <w:b/>
        </w:rPr>
        <w:t>LE RÉSULTAT DE L’ANNÉE 202</w:t>
      </w:r>
      <w:r w:rsidR="00270A4F">
        <w:rPr>
          <w:b/>
        </w:rPr>
        <w:t>3</w:t>
      </w:r>
    </w:p>
    <w:p w14:paraId="4D72A8E3" w14:textId="77777777" w:rsidR="008F7B45" w:rsidRDefault="008F7B45" w:rsidP="00883E3C"/>
    <w:p w14:paraId="669B35C1" w14:textId="6CD64C20" w:rsidR="00270A4F" w:rsidRDefault="00270A4F" w:rsidP="00DA106C">
      <w:pPr>
        <w:jc w:val="center"/>
      </w:pPr>
      <w:r>
        <w:rPr>
          <w:noProof/>
          <w:lang w:eastAsia="zh-CN"/>
        </w:rPr>
        <w:drawing>
          <wp:inline distT="0" distB="0" distL="0" distR="0" wp14:anchorId="743346DB" wp14:editId="7BA14450">
            <wp:extent cx="5026660" cy="3317875"/>
            <wp:effectExtent l="0" t="0" r="2540" b="1587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C51426" w14:textId="187B5095" w:rsidR="008F7B45" w:rsidRPr="00DA106C" w:rsidRDefault="00270A4F" w:rsidP="00270A4F">
      <w:pPr>
        <w:rPr>
          <w:b/>
          <w:bCs/>
        </w:rPr>
      </w:pPr>
      <w:r>
        <w:t>Malgré nos efforts pour maîtriser le budget, l</w:t>
      </w:r>
      <w:r w:rsidR="008F7B45">
        <w:t>e résultat de l’année 202</w:t>
      </w:r>
      <w:r>
        <w:t xml:space="preserve">3 est, cette année encore, légèrement </w:t>
      </w:r>
      <w:r w:rsidR="008F7B45">
        <w:t>négatif avec une perte de</w:t>
      </w:r>
      <w:r w:rsidR="00485E52">
        <w:t> </w:t>
      </w:r>
      <w:r w:rsidRPr="00805368">
        <w:rPr>
          <w:b/>
          <w:bCs/>
        </w:rPr>
        <w:t>6418 euros.</w:t>
      </w:r>
    </w:p>
    <w:p w14:paraId="11DE5070" w14:textId="77777777" w:rsidR="00485E52" w:rsidRDefault="00485E52" w:rsidP="00883E3C"/>
    <w:p w14:paraId="2816DBCE" w14:textId="77777777" w:rsidR="002D6BDD" w:rsidRDefault="00485E52">
      <w:r w:rsidRPr="00805368">
        <w:rPr>
          <w:b/>
          <w:bCs/>
        </w:rPr>
        <w:t>Il est proposé d’inscrire cette perte à un « report à nouveau » dans le bilan de l’association</w:t>
      </w:r>
      <w:r>
        <w:t>.</w:t>
      </w:r>
    </w:p>
    <w:p w14:paraId="2D473020" w14:textId="2FB75A7B" w:rsidR="00DA106C" w:rsidRPr="002D6BDD" w:rsidRDefault="00DA106C">
      <w:r w:rsidRPr="002D6BDD">
        <w:rPr>
          <w:sz w:val="22"/>
          <w:szCs w:val="22"/>
        </w:rPr>
        <w:t>Alain BEGRAMIAN</w:t>
      </w:r>
      <w:r w:rsidR="002D6BDD">
        <w:rPr>
          <w:sz w:val="22"/>
          <w:szCs w:val="22"/>
        </w:rPr>
        <w:t xml:space="preserve"> </w:t>
      </w:r>
      <w:r w:rsidRPr="002D6BDD">
        <w:rPr>
          <w:sz w:val="22"/>
          <w:szCs w:val="22"/>
        </w:rPr>
        <w:t>PRESIDENT</w:t>
      </w:r>
      <w:r w:rsidRPr="002D6BDD">
        <w:rPr>
          <w:noProof/>
          <w:sz w:val="22"/>
          <w:szCs w:val="22"/>
        </w:rPr>
        <mc:AlternateContent>
          <mc:Choice Requires="wps">
            <w:drawing>
              <wp:inline distT="0" distB="0" distL="0" distR="0" wp14:anchorId="2FEAB950" wp14:editId="18F39F17">
                <wp:extent cx="304800" cy="304800"/>
                <wp:effectExtent l="0" t="0" r="0" b="8890"/>
                <wp:docPr id="99797868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B9B81"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A62B5" w:rsidRPr="002D6BDD">
        <w:rPr>
          <w:noProof/>
          <w:sz w:val="22"/>
          <w:szCs w:val="22"/>
        </w:rPr>
        <mc:AlternateContent>
          <mc:Choice Requires="wps">
            <w:drawing>
              <wp:inline distT="0" distB="0" distL="0" distR="0" wp14:anchorId="48DE0FBB" wp14:editId="0A0E668F">
                <wp:extent cx="302260" cy="302260"/>
                <wp:effectExtent l="0" t="0" r="0" b="0"/>
                <wp:docPr id="164330519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45EAD" id="AutoShape 1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6A62B5">
        <w:rPr>
          <w:noProof/>
        </w:rPr>
        <w:drawing>
          <wp:inline distT="0" distB="0" distL="0" distR="0" wp14:anchorId="5A815816" wp14:editId="55AD5996">
            <wp:extent cx="3304075" cy="2708858"/>
            <wp:effectExtent l="0" t="0" r="0" b="0"/>
            <wp:docPr id="2956693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89" cy="2759291"/>
                    </a:xfrm>
                    <a:prstGeom prst="rect">
                      <a:avLst/>
                    </a:prstGeom>
                    <a:noFill/>
                  </pic:spPr>
                </pic:pic>
              </a:graphicData>
            </a:graphic>
          </wp:inline>
        </w:drawing>
      </w:r>
    </w:p>
    <w:sectPr w:rsidR="00DA106C" w:rsidRPr="002D6BDD" w:rsidSect="00F95CF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27620" w14:textId="77777777" w:rsidR="00D63E2A" w:rsidRDefault="00D63E2A" w:rsidP="00DA106C">
      <w:r>
        <w:separator/>
      </w:r>
    </w:p>
  </w:endnote>
  <w:endnote w:type="continuationSeparator" w:id="0">
    <w:p w14:paraId="1B945AEE" w14:textId="77777777" w:rsidR="00D63E2A" w:rsidRDefault="00D63E2A" w:rsidP="00DA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F61DA" w14:textId="77777777" w:rsidR="00D63E2A" w:rsidRDefault="00D63E2A" w:rsidP="00DA106C">
      <w:r>
        <w:separator/>
      </w:r>
    </w:p>
  </w:footnote>
  <w:footnote w:type="continuationSeparator" w:id="0">
    <w:p w14:paraId="73B29B75" w14:textId="77777777" w:rsidR="00D63E2A" w:rsidRDefault="00D63E2A" w:rsidP="00DA1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3C"/>
    <w:rsid w:val="00035E0A"/>
    <w:rsid w:val="00100251"/>
    <w:rsid w:val="00111DB5"/>
    <w:rsid w:val="00132404"/>
    <w:rsid w:val="00137F5D"/>
    <w:rsid w:val="001715DF"/>
    <w:rsid w:val="00270A4F"/>
    <w:rsid w:val="00296806"/>
    <w:rsid w:val="002D6BDD"/>
    <w:rsid w:val="002F7C46"/>
    <w:rsid w:val="00344F95"/>
    <w:rsid w:val="00435CA0"/>
    <w:rsid w:val="00450F91"/>
    <w:rsid w:val="00485E52"/>
    <w:rsid w:val="006A62B5"/>
    <w:rsid w:val="006B0804"/>
    <w:rsid w:val="007116DC"/>
    <w:rsid w:val="007B02F0"/>
    <w:rsid w:val="007D7D2B"/>
    <w:rsid w:val="00805368"/>
    <w:rsid w:val="00883E3C"/>
    <w:rsid w:val="008F7B45"/>
    <w:rsid w:val="00A03276"/>
    <w:rsid w:val="00AF552E"/>
    <w:rsid w:val="00B8523B"/>
    <w:rsid w:val="00BD59D7"/>
    <w:rsid w:val="00C111D7"/>
    <w:rsid w:val="00C35AEB"/>
    <w:rsid w:val="00CE396D"/>
    <w:rsid w:val="00D31B3B"/>
    <w:rsid w:val="00D63E2A"/>
    <w:rsid w:val="00D83FB6"/>
    <w:rsid w:val="00DA106C"/>
    <w:rsid w:val="00DA54D1"/>
    <w:rsid w:val="00F95CF9"/>
    <w:rsid w:val="00FD085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AEB91B"/>
  <w14:defaultImageDpi w14:val="300"/>
  <w15:docId w15:val="{92407A01-275A-4A16-905A-FC10DA6D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1B3B"/>
    <w:rPr>
      <w:rFonts w:ascii="Lucida Grande" w:hAnsi="Lucida Grande"/>
      <w:sz w:val="18"/>
      <w:szCs w:val="18"/>
    </w:rPr>
  </w:style>
  <w:style w:type="character" w:customStyle="1" w:styleId="TextedebullesCar">
    <w:name w:val="Texte de bulles Car"/>
    <w:basedOn w:val="Policepardfaut"/>
    <w:link w:val="Textedebulles"/>
    <w:uiPriority w:val="99"/>
    <w:semiHidden/>
    <w:rsid w:val="00D31B3B"/>
    <w:rPr>
      <w:rFonts w:ascii="Lucida Grande" w:hAnsi="Lucida Grande"/>
      <w:sz w:val="18"/>
      <w:szCs w:val="18"/>
    </w:rPr>
  </w:style>
  <w:style w:type="paragraph" w:styleId="En-tte">
    <w:name w:val="header"/>
    <w:basedOn w:val="Normal"/>
    <w:link w:val="En-tteCar"/>
    <w:uiPriority w:val="99"/>
    <w:unhideWhenUsed/>
    <w:rsid w:val="00DA106C"/>
    <w:pPr>
      <w:tabs>
        <w:tab w:val="center" w:pos="4536"/>
        <w:tab w:val="right" w:pos="9072"/>
      </w:tabs>
    </w:pPr>
  </w:style>
  <w:style w:type="character" w:customStyle="1" w:styleId="En-tteCar">
    <w:name w:val="En-tête Car"/>
    <w:basedOn w:val="Policepardfaut"/>
    <w:link w:val="En-tte"/>
    <w:uiPriority w:val="99"/>
    <w:rsid w:val="00DA106C"/>
  </w:style>
  <w:style w:type="paragraph" w:styleId="Pieddepage">
    <w:name w:val="footer"/>
    <w:basedOn w:val="Normal"/>
    <w:link w:val="PieddepageCar"/>
    <w:uiPriority w:val="99"/>
    <w:unhideWhenUsed/>
    <w:rsid w:val="00DA106C"/>
    <w:pPr>
      <w:tabs>
        <w:tab w:val="center" w:pos="4536"/>
        <w:tab w:val="right" w:pos="9072"/>
      </w:tabs>
    </w:pPr>
  </w:style>
  <w:style w:type="character" w:customStyle="1" w:styleId="PieddepageCar">
    <w:name w:val="Pied de page Car"/>
    <w:basedOn w:val="Policepardfaut"/>
    <w:link w:val="Pieddepage"/>
    <w:uiPriority w:val="99"/>
    <w:rsid w:val="00DA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ecriv\AppData\Local\Temp\c4a9a756-e577-4fcb-ae22-a2711e6843d6_docus%20pour%20rapport.zip.3d6\CSBV%202023%20chiffres%20pour%20rappor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ecriv\Desktop\Marie\1-TRESORERIE\AG%20CSBV%202023%20chiffres%20pour%20rapport.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ecriv\Desktop\Marie\1-TRESORERIE\AG%20CSBV%202023%20chiffres%20pour%20rap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'[CSBV 2023 chiffres pour rapport.xlsx]CR 21 et 22 et 23'!$I$9:$I$13</c:f>
              <c:strCache>
                <c:ptCount val="5"/>
                <c:pt idx="0">
                  <c:v>ACHATS (alimentation, fournitures, prestations et transport d'activités, EDF, etc.)</c:v>
                </c:pt>
                <c:pt idx="1">
                  <c:v>SERVICES EXTÉRIEURS (loc immo, maintenance, honoraires, tél., banque, formations, etc.)</c:v>
                </c:pt>
                <c:pt idx="2">
                  <c:v>TAXES (foncier/ordures et formation professionnelle)</c:v>
                </c:pt>
                <c:pt idx="3">
                  <c:v>FRAIS DE PERSONNEL (salaires et charges)</c:v>
                </c:pt>
                <c:pt idx="4">
                  <c:v>DOTATION AUX AMORTISSEMENTS sur immobilisations</c:v>
                </c:pt>
              </c:strCache>
            </c:strRef>
          </c:cat>
          <c:val>
            <c:numRef>
              <c:f>'[CSBV 2023 chiffres pour rapport.xlsx]CR 21 et 22 et 23'!$J$9:$J$13</c:f>
              <c:numCache>
                <c:formatCode>0</c:formatCode>
                <c:ptCount val="5"/>
                <c:pt idx="0">
                  <c:v>46085.919999999998</c:v>
                </c:pt>
                <c:pt idx="1">
                  <c:v>79121.34</c:v>
                </c:pt>
                <c:pt idx="2">
                  <c:v>7066.08</c:v>
                </c:pt>
                <c:pt idx="3">
                  <c:v>310253.98</c:v>
                </c:pt>
                <c:pt idx="4">
                  <c:v>93275.5</c:v>
                </c:pt>
              </c:numCache>
            </c:numRef>
          </c:val>
          <c:extLst>
            <c:ext xmlns:c16="http://schemas.microsoft.com/office/drawing/2014/chart" uri="{C3380CC4-5D6E-409C-BE32-E72D297353CC}">
              <c16:uniqueId val="{00000000-1482-498C-978D-469B5870D2E0}"/>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fr-FR"/>
              <a:t>PRODUITS 2023</a:t>
            </a:r>
          </a:p>
        </c:rich>
      </c:tx>
      <c:layout>
        <c:manualLayout>
          <c:xMode val="edge"/>
          <c:yMode val="edge"/>
          <c:x val="0.79931114741025699"/>
          <c:y val="0.439154203050444"/>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'CR 21 et 22 et 23'!$J$73</c:f>
              <c:strCache>
                <c:ptCount val="1"/>
                <c:pt idx="0">
                  <c:v>2023</c:v>
                </c:pt>
              </c:strCache>
            </c:strRef>
          </c:tx>
          <c:explosion val="25"/>
          <c:dPt>
            <c:idx val="0"/>
            <c:bubble3D val="0"/>
            <c:spPr>
              <a:gradFill rotWithShape="1">
                <a:gsLst>
                  <a:gs pos="0">
                    <a:schemeClr val="accent3">
                      <a:shade val="47000"/>
                      <a:shade val="51000"/>
                      <a:satMod val="130000"/>
                    </a:schemeClr>
                  </a:gs>
                  <a:gs pos="80000">
                    <a:schemeClr val="accent3">
                      <a:shade val="47000"/>
                      <a:shade val="93000"/>
                      <a:satMod val="130000"/>
                    </a:schemeClr>
                  </a:gs>
                  <a:gs pos="100000">
                    <a:schemeClr val="accent3">
                      <a:shade val="47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DDB6-47E3-B3C7-E6571E44805B}"/>
              </c:ext>
            </c:extLst>
          </c:dPt>
          <c:dPt>
            <c:idx val="1"/>
            <c:bubble3D val="0"/>
            <c:spPr>
              <a:gradFill rotWithShape="1">
                <a:gsLst>
                  <a:gs pos="0">
                    <a:schemeClr val="accent3">
                      <a:shade val="65000"/>
                      <a:shade val="51000"/>
                      <a:satMod val="130000"/>
                    </a:schemeClr>
                  </a:gs>
                  <a:gs pos="80000">
                    <a:schemeClr val="accent3">
                      <a:shade val="65000"/>
                      <a:shade val="93000"/>
                      <a:satMod val="130000"/>
                    </a:schemeClr>
                  </a:gs>
                  <a:gs pos="100000">
                    <a:schemeClr val="accent3">
                      <a:shade val="65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DDB6-47E3-B3C7-E6571E44805B}"/>
              </c:ext>
            </c:extLst>
          </c:dPt>
          <c:dPt>
            <c:idx val="2"/>
            <c:bubble3D val="0"/>
            <c:spPr>
              <a:gradFill rotWithShape="1">
                <a:gsLst>
                  <a:gs pos="0">
                    <a:schemeClr val="accent3">
                      <a:shade val="82000"/>
                      <a:shade val="51000"/>
                      <a:satMod val="130000"/>
                    </a:schemeClr>
                  </a:gs>
                  <a:gs pos="80000">
                    <a:schemeClr val="accent3">
                      <a:shade val="82000"/>
                      <a:shade val="93000"/>
                      <a:satMod val="130000"/>
                    </a:schemeClr>
                  </a:gs>
                  <a:gs pos="100000">
                    <a:schemeClr val="accent3">
                      <a:shade val="82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DDB6-47E3-B3C7-E6571E44805B}"/>
              </c:ext>
            </c:extLst>
          </c:dPt>
          <c:dPt>
            <c:idx val="3"/>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DDB6-47E3-B3C7-E6571E44805B}"/>
              </c:ext>
            </c:extLst>
          </c:dPt>
          <c:dPt>
            <c:idx val="4"/>
            <c:bubble3D val="0"/>
            <c:spPr>
              <a:gradFill rotWithShape="1">
                <a:gsLst>
                  <a:gs pos="0">
                    <a:schemeClr val="accent3">
                      <a:tint val="83000"/>
                      <a:shade val="51000"/>
                      <a:satMod val="130000"/>
                    </a:schemeClr>
                  </a:gs>
                  <a:gs pos="80000">
                    <a:schemeClr val="accent3">
                      <a:tint val="83000"/>
                      <a:shade val="93000"/>
                      <a:satMod val="130000"/>
                    </a:schemeClr>
                  </a:gs>
                  <a:gs pos="100000">
                    <a:schemeClr val="accent3">
                      <a:tint val="83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DDB6-47E3-B3C7-E6571E44805B}"/>
              </c:ext>
            </c:extLst>
          </c:dPt>
          <c:dPt>
            <c:idx val="5"/>
            <c:bubble3D val="0"/>
            <c:spPr>
              <a:gradFill rotWithShape="1">
                <a:gsLst>
                  <a:gs pos="0">
                    <a:schemeClr val="accent3">
                      <a:tint val="65000"/>
                      <a:shade val="51000"/>
                      <a:satMod val="130000"/>
                    </a:schemeClr>
                  </a:gs>
                  <a:gs pos="80000">
                    <a:schemeClr val="accent3">
                      <a:tint val="65000"/>
                      <a:shade val="93000"/>
                      <a:satMod val="130000"/>
                    </a:schemeClr>
                  </a:gs>
                  <a:gs pos="100000">
                    <a:schemeClr val="accent3">
                      <a:tint val="65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DDB6-47E3-B3C7-E6571E44805B}"/>
              </c:ext>
            </c:extLst>
          </c:dPt>
          <c:dPt>
            <c:idx val="6"/>
            <c:bubble3D val="0"/>
            <c:spPr>
              <a:gradFill rotWithShape="1">
                <a:gsLst>
                  <a:gs pos="0">
                    <a:schemeClr val="accent3">
                      <a:tint val="48000"/>
                      <a:shade val="51000"/>
                      <a:satMod val="130000"/>
                    </a:schemeClr>
                  </a:gs>
                  <a:gs pos="80000">
                    <a:schemeClr val="accent3">
                      <a:tint val="48000"/>
                      <a:shade val="93000"/>
                      <a:satMod val="130000"/>
                    </a:schemeClr>
                  </a:gs>
                  <a:gs pos="100000">
                    <a:schemeClr val="accent3">
                      <a:tint val="48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DDB6-47E3-B3C7-E6571E44805B}"/>
              </c:ext>
            </c:extLst>
          </c:dPt>
          <c:dLbls>
            <c:dLbl>
              <c:idx val="5"/>
              <c:layout>
                <c:manualLayout>
                  <c:x val="-0.14749266533609176"/>
                  <c:y val="-0.11470201667829497"/>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DB6-47E3-B3C7-E6571E44805B}"/>
                </c:ext>
              </c:extLst>
            </c:dLbl>
            <c:dLbl>
              <c:idx val="6"/>
              <c:layout>
                <c:manualLayout>
                  <c:x val="-1.3974318514165477E-2"/>
                  <c:y val="-3.5897550570565644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B6-47E3-B3C7-E6571E4480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'CR 21 et 22 et 23'!$I$74:$I$80</c:f>
              <c:strCache>
                <c:ptCount val="7"/>
                <c:pt idx="0">
                  <c:v>Participation des usagers et vente de prestations de service</c:v>
                </c:pt>
                <c:pt idx="1">
                  <c:v>ETAT (FONJEP (jeunesse), CNAV (seniors), …)</c:v>
                </c:pt>
                <c:pt idx="2">
                  <c:v>PARIS (accueil, prévention jeunesse, vacances, numérique, ludothèque, vie de quartier)</c:v>
                </c:pt>
                <c:pt idx="3">
                  <c:v> CAF (gestion du centre, acc famille, acc scolarité, jeunesse, vacances, ludothèque, etc.)</c:v>
                </c:pt>
                <c:pt idx="4">
                  <c:v>MÉCÉNAT (Fondations)</c:v>
                </c:pt>
                <c:pt idx="5">
                  <c:v>AUTRES PRODUITS (Cotisations et dons, remb. formations, …)</c:v>
                </c:pt>
                <c:pt idx="6">
                  <c:v>PRODUITS EXCEPTIONNELS  (sub d'investissement, produits financiers, …)</c:v>
                </c:pt>
              </c:strCache>
            </c:strRef>
          </c:cat>
          <c:val>
            <c:numRef>
              <c:f>'CR 21 et 22 et 23'!$J$74:$J$80</c:f>
              <c:numCache>
                <c:formatCode>0</c:formatCode>
                <c:ptCount val="7"/>
                <c:pt idx="0">
                  <c:v>5000.78</c:v>
                </c:pt>
                <c:pt idx="1">
                  <c:v>23107</c:v>
                </c:pt>
                <c:pt idx="2">
                  <c:v>250029.8</c:v>
                </c:pt>
                <c:pt idx="3">
                  <c:v>168355.25</c:v>
                </c:pt>
                <c:pt idx="4">
                  <c:v>0</c:v>
                </c:pt>
                <c:pt idx="5">
                  <c:v>10351.880000000001</c:v>
                </c:pt>
                <c:pt idx="6">
                  <c:v>76538.849999999991</c:v>
                </c:pt>
              </c:numCache>
            </c:numRef>
          </c:val>
          <c:extLst>
            <c:ext xmlns:c16="http://schemas.microsoft.com/office/drawing/2014/chart" uri="{C3380CC4-5D6E-409C-BE32-E72D297353CC}">
              <c16:uniqueId val="{0000000E-DDB6-47E3-B3C7-E6571E44805B}"/>
            </c:ext>
          </c:extLst>
        </c:ser>
        <c:dLbls>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fr-FR"/>
              <a:t>RÉSULTAT 2023 : - 6418</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 21 et 22 et 23'!$I$3:$I$4</c:f>
              <c:strCache>
                <c:ptCount val="2"/>
                <c:pt idx="0">
                  <c:v>TOTAL CHARGES</c:v>
                </c:pt>
                <c:pt idx="1">
                  <c:v>TOTAL PRODUITS</c:v>
                </c:pt>
              </c:strCache>
            </c:strRef>
          </c:cat>
          <c:val>
            <c:numRef>
              <c:f>'CR 21 et 22 et 23'!$J$3:$J$4</c:f>
              <c:numCache>
                <c:formatCode>0</c:formatCode>
                <c:ptCount val="2"/>
                <c:pt idx="0">
                  <c:v>539801.74</c:v>
                </c:pt>
                <c:pt idx="1">
                  <c:v>533383.56000000006</c:v>
                </c:pt>
              </c:numCache>
            </c:numRef>
          </c:val>
          <c:extLst>
            <c:ext xmlns:c16="http://schemas.microsoft.com/office/drawing/2014/chart" uri="{C3380CC4-5D6E-409C-BE32-E72D297353CC}">
              <c16:uniqueId val="{00000000-A692-4BEC-A261-CAF7EA09AC7D}"/>
            </c:ext>
          </c:extLst>
        </c:ser>
        <c:dLbls>
          <c:showLegendKey val="0"/>
          <c:showVal val="1"/>
          <c:showCatName val="0"/>
          <c:showSerName val="0"/>
          <c:showPercent val="0"/>
          <c:showBubbleSize val="0"/>
        </c:dLbls>
        <c:gapWidth val="150"/>
        <c:overlap val="-25"/>
        <c:axId val="341999896"/>
        <c:axId val="342001856"/>
      </c:barChart>
      <c:catAx>
        <c:axId val="341999896"/>
        <c:scaling>
          <c:orientation val="minMax"/>
        </c:scaling>
        <c:delete val="0"/>
        <c:axPos val="b"/>
        <c:numFmt formatCode="General" sourceLinked="0"/>
        <c:majorTickMark val="none"/>
        <c:minorTickMark val="none"/>
        <c:tickLblPos val="nextTo"/>
        <c:crossAx val="342001856"/>
        <c:crosses val="autoZero"/>
        <c:auto val="1"/>
        <c:lblAlgn val="ctr"/>
        <c:lblOffset val="100"/>
        <c:noMultiLvlLbl val="0"/>
      </c:catAx>
      <c:valAx>
        <c:axId val="342001856"/>
        <c:scaling>
          <c:orientation val="minMax"/>
        </c:scaling>
        <c:delete val="1"/>
        <c:axPos val="l"/>
        <c:numFmt formatCode="0" sourceLinked="1"/>
        <c:majorTickMark val="none"/>
        <c:minorTickMark val="none"/>
        <c:tickLblPos val="nextTo"/>
        <c:crossAx val="341999896"/>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608</Words>
  <Characters>3347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Mac</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Mac</dc:creator>
  <cp:keywords/>
  <dc:description/>
  <cp:lastModifiedBy>Claire SALERES</cp:lastModifiedBy>
  <cp:revision>9</cp:revision>
  <dcterms:created xsi:type="dcterms:W3CDTF">2024-06-05T16:43:00Z</dcterms:created>
  <dcterms:modified xsi:type="dcterms:W3CDTF">2024-06-05T18:31:00Z</dcterms:modified>
</cp:coreProperties>
</file>